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95" w:rsidRPr="000515D2" w:rsidRDefault="004B4695" w:rsidP="004B4695">
      <w:pPr>
        <w:ind w:left="360"/>
        <w:rPr>
          <w:rFonts w:ascii="Trebuchet MS" w:hAnsi="Trebuchet MS"/>
          <w:color w:val="000000"/>
          <w:lang w:val="fr-CA"/>
        </w:rPr>
      </w:pPr>
      <w:r w:rsidRPr="000515D2">
        <w:rPr>
          <w:rFonts w:ascii="Trebuchet MS" w:hAnsi="Trebuchet MS"/>
          <w:color w:val="000000"/>
          <w:sz w:val="36"/>
          <w:lang w:val="fr-CA"/>
        </w:rPr>
        <w:t>Chapitre 4 : Le noyau et l’information génétique</w:t>
      </w:r>
      <w:r>
        <w:rPr>
          <w:rFonts w:ascii="Trebuchet MS" w:hAnsi="Trebuchet MS"/>
          <w:color w:val="000000"/>
          <w:sz w:val="36"/>
          <w:lang w:val="fr-CA"/>
        </w:rPr>
        <w:t xml:space="preserve"> </w:t>
      </w:r>
      <w:r>
        <w:rPr>
          <w:rFonts w:ascii="Trebuchet MS" w:hAnsi="Trebuchet MS"/>
          <w:color w:val="000000"/>
          <w:lang w:val="fr-CA"/>
        </w:rPr>
        <w:t>(</w:t>
      </w:r>
      <w:proofErr w:type="spellStart"/>
      <w:r>
        <w:rPr>
          <w:rFonts w:ascii="Trebuchet MS" w:hAnsi="Trebuchet MS"/>
          <w:color w:val="000000"/>
          <w:lang w:val="fr-CA"/>
        </w:rPr>
        <w:t>déf</w:t>
      </w:r>
      <w:proofErr w:type="spellEnd"/>
      <w:r>
        <w:rPr>
          <w:rFonts w:ascii="Trebuchet MS" w:hAnsi="Trebuchet MS"/>
          <w:color w:val="000000"/>
          <w:lang w:val="fr-CA"/>
        </w:rPr>
        <w:t xml:space="preserve"> 1-8)</w:t>
      </w:r>
    </w:p>
    <w:p w:rsidR="004B4695" w:rsidRPr="002D3B28" w:rsidRDefault="004B4695" w:rsidP="004B4695">
      <w:pPr>
        <w:numPr>
          <w:ilvl w:val="1"/>
          <w:numId w:val="1"/>
        </w:numPr>
        <w:tabs>
          <w:tab w:val="clear" w:pos="624"/>
        </w:tabs>
        <w:spacing w:after="120"/>
        <w:ind w:left="360"/>
        <w:rPr>
          <w:rFonts w:ascii="Trebuchet MS" w:hAnsi="Trebuchet MS"/>
          <w:szCs w:val="36"/>
          <w:lang w:val="fr-CA"/>
        </w:rPr>
      </w:pPr>
      <w:r w:rsidRPr="002D3B28">
        <w:rPr>
          <w:rFonts w:ascii="Trebuchet MS" w:hAnsi="Trebuchet MS"/>
          <w:szCs w:val="36"/>
          <w:lang w:val="fr-CA"/>
        </w:rPr>
        <w:t>Les caractères et l’hérédité (p.112)</w:t>
      </w:r>
    </w:p>
    <w:p w:rsidR="004B4695" w:rsidRPr="002D3B28" w:rsidRDefault="004B4695" w:rsidP="004B4695">
      <w:pPr>
        <w:numPr>
          <w:ilvl w:val="1"/>
          <w:numId w:val="1"/>
        </w:numPr>
        <w:tabs>
          <w:tab w:val="clear" w:pos="624"/>
        </w:tabs>
        <w:spacing w:after="120"/>
        <w:ind w:left="360"/>
        <w:rPr>
          <w:rFonts w:ascii="Trebuchet MS" w:hAnsi="Trebuchet MS"/>
          <w:szCs w:val="36"/>
          <w:lang w:val="fr-CA"/>
        </w:rPr>
      </w:pPr>
      <w:r w:rsidRPr="002D3B28">
        <w:rPr>
          <w:rFonts w:ascii="Trebuchet MS" w:hAnsi="Trebuchet MS"/>
          <w:szCs w:val="36"/>
          <w:lang w:val="fr-CA"/>
        </w:rPr>
        <w:t>Le noyau de la cellule (p.113-114)</w:t>
      </w:r>
    </w:p>
    <w:p w:rsidR="004B4695" w:rsidRPr="002D3B28" w:rsidRDefault="004B4695" w:rsidP="004B4695">
      <w:pPr>
        <w:numPr>
          <w:ilvl w:val="1"/>
          <w:numId w:val="1"/>
        </w:numPr>
        <w:tabs>
          <w:tab w:val="clear" w:pos="624"/>
        </w:tabs>
        <w:spacing w:after="120"/>
        <w:ind w:left="360"/>
        <w:rPr>
          <w:rFonts w:ascii="Trebuchet MS" w:hAnsi="Trebuchet MS"/>
          <w:szCs w:val="36"/>
          <w:lang w:val="fr-CA"/>
        </w:rPr>
      </w:pPr>
      <w:r w:rsidRPr="002D3B28">
        <w:rPr>
          <w:rFonts w:ascii="Trebuchet MS" w:hAnsi="Trebuchet MS"/>
          <w:szCs w:val="36"/>
          <w:lang w:val="fr-CA"/>
        </w:rPr>
        <w:t>L’ADN, les gènes et les chromosomes (p.115-119)</w:t>
      </w:r>
    </w:p>
    <w:p w:rsidR="004B4695" w:rsidRPr="002D3B28" w:rsidRDefault="004B4695" w:rsidP="004B4695">
      <w:pPr>
        <w:numPr>
          <w:ilvl w:val="1"/>
          <w:numId w:val="1"/>
        </w:numPr>
        <w:tabs>
          <w:tab w:val="clear" w:pos="624"/>
        </w:tabs>
        <w:spacing w:after="120"/>
        <w:ind w:left="360"/>
        <w:rPr>
          <w:rFonts w:ascii="Trebuchet MS" w:hAnsi="Trebuchet MS"/>
          <w:szCs w:val="36"/>
          <w:lang w:val="fr-CA"/>
        </w:rPr>
      </w:pPr>
      <w:r w:rsidRPr="002D3B28">
        <w:rPr>
          <w:rFonts w:ascii="Trebuchet MS" w:hAnsi="Trebuchet MS"/>
          <w:szCs w:val="36"/>
          <w:lang w:val="fr-CA"/>
        </w:rPr>
        <w:t>Les mutations</w:t>
      </w:r>
      <w:r>
        <w:rPr>
          <w:rFonts w:ascii="Trebuchet MS" w:hAnsi="Trebuchet MS"/>
          <w:szCs w:val="36"/>
          <w:lang w:val="fr-CA"/>
        </w:rPr>
        <w:t xml:space="preserve"> et les mutagènes (p.122, 127)</w:t>
      </w:r>
    </w:p>
    <w:p w:rsidR="004B4695" w:rsidRPr="000515D2" w:rsidRDefault="004B4695" w:rsidP="004B4695">
      <w:pPr>
        <w:spacing w:after="120"/>
        <w:ind w:left="360"/>
        <w:rPr>
          <w:rFonts w:ascii="Trebuchet MS" w:hAnsi="Trebuchet MS"/>
          <w:szCs w:val="36"/>
          <w:lang w:val="fr-CA"/>
        </w:rPr>
      </w:pPr>
      <w:r w:rsidRPr="000515D2">
        <w:rPr>
          <w:rFonts w:ascii="Trebuchet MS" w:hAnsi="Trebuchet MS"/>
          <w:color w:val="000000"/>
          <w:sz w:val="36"/>
          <w:lang w:val="fr-CA"/>
        </w:rPr>
        <w:t>Chapitre 5 : Le cycle cellulaire et la mitose</w:t>
      </w:r>
    </w:p>
    <w:p w:rsidR="004B4695" w:rsidRPr="002D3B28" w:rsidRDefault="004B4695" w:rsidP="004B4695">
      <w:pPr>
        <w:numPr>
          <w:ilvl w:val="1"/>
          <w:numId w:val="1"/>
        </w:numPr>
        <w:tabs>
          <w:tab w:val="clear" w:pos="624"/>
        </w:tabs>
        <w:spacing w:after="120"/>
        <w:ind w:left="360"/>
        <w:rPr>
          <w:rFonts w:ascii="Trebuchet MS" w:hAnsi="Trebuchet MS"/>
          <w:szCs w:val="36"/>
          <w:lang w:val="fr-CA"/>
        </w:rPr>
      </w:pPr>
      <w:r w:rsidRPr="002D3B28">
        <w:rPr>
          <w:rFonts w:ascii="Trebuchet MS" w:hAnsi="Trebuchet MS"/>
          <w:szCs w:val="36"/>
          <w:lang w:val="fr-CA"/>
        </w:rPr>
        <w:t xml:space="preserve">Le cycle cellulaire : interphase, mitose, </w:t>
      </w:r>
      <w:proofErr w:type="spellStart"/>
      <w:r w:rsidRPr="002D3B28">
        <w:rPr>
          <w:rFonts w:ascii="Trebuchet MS" w:hAnsi="Trebuchet MS"/>
          <w:szCs w:val="36"/>
          <w:lang w:val="fr-CA"/>
        </w:rPr>
        <w:t>cytocinèse</w:t>
      </w:r>
      <w:proofErr w:type="spellEnd"/>
      <w:r w:rsidRPr="002D3B28">
        <w:rPr>
          <w:rFonts w:ascii="Trebuchet MS" w:hAnsi="Trebuchet MS"/>
          <w:szCs w:val="36"/>
          <w:lang w:val="fr-CA"/>
        </w:rPr>
        <w:t>. (p.139-141)</w:t>
      </w:r>
      <w:r>
        <w:rPr>
          <w:rFonts w:ascii="Trebuchet MS" w:hAnsi="Trebuchet MS"/>
          <w:szCs w:val="36"/>
          <w:lang w:val="fr-CA"/>
        </w:rPr>
        <w:t xml:space="preserve"> (</w:t>
      </w:r>
      <w:proofErr w:type="spellStart"/>
      <w:r>
        <w:rPr>
          <w:rFonts w:ascii="Trebuchet MS" w:hAnsi="Trebuchet MS"/>
          <w:szCs w:val="36"/>
          <w:lang w:val="fr-CA"/>
        </w:rPr>
        <w:t>déf</w:t>
      </w:r>
      <w:proofErr w:type="spellEnd"/>
      <w:r>
        <w:rPr>
          <w:rFonts w:ascii="Trebuchet MS" w:hAnsi="Trebuchet MS"/>
          <w:szCs w:val="36"/>
          <w:lang w:val="fr-CA"/>
        </w:rPr>
        <w:t xml:space="preserve"> 9-12)</w:t>
      </w:r>
    </w:p>
    <w:p w:rsidR="004B4695" w:rsidRDefault="004B4695" w:rsidP="004B4695">
      <w:pPr>
        <w:numPr>
          <w:ilvl w:val="1"/>
          <w:numId w:val="1"/>
        </w:numPr>
        <w:tabs>
          <w:tab w:val="clear" w:pos="624"/>
        </w:tabs>
        <w:spacing w:after="120"/>
        <w:ind w:left="360"/>
        <w:rPr>
          <w:rFonts w:ascii="Trebuchet MS" w:hAnsi="Trebuchet MS"/>
          <w:szCs w:val="36"/>
          <w:lang w:val="fr-CA"/>
        </w:rPr>
      </w:pPr>
      <w:r w:rsidRPr="002D3B28">
        <w:rPr>
          <w:rFonts w:ascii="Trebuchet MS" w:hAnsi="Trebuchet MS"/>
          <w:szCs w:val="36"/>
          <w:lang w:val="fr-CA"/>
        </w:rPr>
        <w:t>La multiplication des cellules : Le taux de croissance théorique (Activité 5-1A p.138)</w:t>
      </w:r>
    </w:p>
    <w:p w:rsidR="004B4695" w:rsidRDefault="004B4695" w:rsidP="004B4695">
      <w:pPr>
        <w:numPr>
          <w:ilvl w:val="1"/>
          <w:numId w:val="1"/>
        </w:numPr>
        <w:tabs>
          <w:tab w:val="clear" w:pos="624"/>
        </w:tabs>
        <w:spacing w:after="120"/>
        <w:ind w:left="360"/>
        <w:rPr>
          <w:rFonts w:ascii="Trebuchet MS" w:hAnsi="Trebuchet MS"/>
          <w:szCs w:val="36"/>
          <w:lang w:val="fr-CA"/>
        </w:rPr>
      </w:pPr>
      <w:r>
        <w:rPr>
          <w:rFonts w:ascii="Trebuchet MS" w:hAnsi="Trebuchet MS"/>
          <w:szCs w:val="36"/>
          <w:lang w:val="fr-CA"/>
        </w:rPr>
        <w:t>La mitose : prophase, métaphase, anaphase, télophase.  (p.142-143) (</w:t>
      </w:r>
      <w:proofErr w:type="spellStart"/>
      <w:r>
        <w:rPr>
          <w:rFonts w:ascii="Trebuchet MS" w:hAnsi="Trebuchet MS"/>
          <w:szCs w:val="36"/>
          <w:lang w:val="fr-CA"/>
        </w:rPr>
        <w:t>déf</w:t>
      </w:r>
      <w:proofErr w:type="spellEnd"/>
      <w:r>
        <w:rPr>
          <w:rFonts w:ascii="Trebuchet MS" w:hAnsi="Trebuchet MS"/>
          <w:szCs w:val="36"/>
          <w:lang w:val="fr-CA"/>
        </w:rPr>
        <w:t xml:space="preserve"> 13-17)</w:t>
      </w:r>
    </w:p>
    <w:p w:rsidR="004B4695" w:rsidRDefault="004B4695" w:rsidP="004B4695">
      <w:pPr>
        <w:numPr>
          <w:ilvl w:val="1"/>
          <w:numId w:val="1"/>
        </w:numPr>
        <w:tabs>
          <w:tab w:val="clear" w:pos="624"/>
        </w:tabs>
        <w:spacing w:after="120"/>
        <w:ind w:left="360"/>
        <w:rPr>
          <w:rFonts w:ascii="Trebuchet MS" w:hAnsi="Trebuchet MS"/>
          <w:szCs w:val="36"/>
          <w:lang w:val="fr-CA"/>
        </w:rPr>
      </w:pPr>
      <w:r>
        <w:rPr>
          <w:rFonts w:ascii="Trebuchet MS" w:hAnsi="Trebuchet MS"/>
          <w:szCs w:val="36"/>
          <w:lang w:val="fr-CA"/>
        </w:rPr>
        <w:t>La reproduction asexuée : Les avantages et les inconvénients (p. 161)</w:t>
      </w:r>
    </w:p>
    <w:p w:rsidR="008E4CA3" w:rsidRPr="004B4695" w:rsidRDefault="008E4CA3">
      <w:pPr>
        <w:rPr>
          <w:lang w:val="fr-CA"/>
        </w:rPr>
      </w:pPr>
    </w:p>
    <w:sectPr w:rsidR="008E4CA3" w:rsidRPr="004B4695" w:rsidSect="008E4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97C"/>
    <w:multiLevelType w:val="multilevel"/>
    <w:tmpl w:val="64BE2B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232"/>
        </w:tabs>
        <w:ind w:left="3240" w:hanging="972"/>
      </w:pPr>
      <w:rPr>
        <w:rFonts w:ascii="Wingdings" w:hAnsi="Wingdings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1247" w:firstLine="307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695"/>
    <w:rsid w:val="004B4695"/>
    <w:rsid w:val="008E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ESDNL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mnurse</dc:creator>
  <cp:lastModifiedBy>mnurse</cp:lastModifiedBy>
  <cp:revision>1</cp:revision>
  <dcterms:created xsi:type="dcterms:W3CDTF">2013-04-30T16:54:00Z</dcterms:created>
  <dcterms:modified xsi:type="dcterms:W3CDTF">2013-04-30T16:54:00Z</dcterms:modified>
</cp:coreProperties>
</file>